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2"/>
        <w:gridCol w:w="1737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3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氰氟草酯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30%，1000ml/瓶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五氟磺草胺（稻杰）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2.50%，1000ml/瓶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田埂净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二氯喹啉酸6%、双草醚10%、氰氟草酯30%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  <w:bookmarkStart w:id="0" w:name="_GoBack"/>
      <w:bookmarkEnd w:id="0"/>
    </w:p>
    <w:p/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11032A25"/>
    <w:rsid w:val="16F11946"/>
    <w:rsid w:val="275F2199"/>
    <w:rsid w:val="2B921820"/>
    <w:rsid w:val="3467738C"/>
    <w:rsid w:val="431851BA"/>
    <w:rsid w:val="433361BF"/>
    <w:rsid w:val="4450455F"/>
    <w:rsid w:val="4FB264B5"/>
    <w:rsid w:val="6D47751A"/>
    <w:rsid w:val="71F57E45"/>
    <w:rsid w:val="760A11D6"/>
    <w:rsid w:val="77DD151C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3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2024-08-07T08:17:41Z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9E827F51FADA45D7A834FDC63C1D9547_11</vt:lpwstr>
  </property>
</Properties>
</file>