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98"/>
        <w:gridCol w:w="1695"/>
        <w:gridCol w:w="583"/>
        <w:gridCol w:w="977"/>
        <w:gridCol w:w="1290"/>
        <w:gridCol w:w="1275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16" w:type="dxa"/>
            <w:gridSpan w:val="8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auto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auto"/>
                <w:lang w:eastAsia="zh-CN"/>
              </w:rPr>
              <w:t>水稻收割铲车转运作业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auto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商品名称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规格含量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单位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单价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总金额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铲车转运作业（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含场地清理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稻谷中转堆放和装车作业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吨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6000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798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83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8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  <w:t>注：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</w:rPr>
              <w:t>1.以上报价均包转运费、税费等；</w:t>
            </w:r>
            <w:bookmarkStart w:id="0" w:name="_GoBack"/>
            <w:bookmarkEnd w:id="0"/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shd w:val="clear" w:color="auto" w:fill="auto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26775FAA"/>
    <w:rsid w:val="2AEE3666"/>
    <w:rsid w:val="42E94A04"/>
    <w:rsid w:val="51BC583B"/>
    <w:rsid w:val="64E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蜡笔画小新</cp:lastModifiedBy>
  <dcterms:modified xsi:type="dcterms:W3CDTF">2024-09-26T07:39:10Z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D75CAA3D464344C6804DB18A3DEF1619_11</vt:lpwstr>
  </property>
</Properties>
</file>