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6"/>
          <w:rFonts w:ascii="FangSong_GB2312" w:eastAsia="FangSong_GB2312"/>
          <w:b/>
          <w:sz w:val="28"/>
          <w:szCs w:val="28"/>
          <w:highlight w:val="none"/>
        </w:rPr>
      </w:pPr>
      <w:r>
        <w:rPr>
          <w:rStyle w:val="6"/>
          <w:rFonts w:hint="eastAsia" w:ascii="FangSong_GB2312" w:eastAsia="FangSong_GB2312"/>
          <w:b/>
          <w:sz w:val="28"/>
          <w:szCs w:val="28"/>
          <w:highlight w:val="none"/>
        </w:rPr>
        <w:t>报价表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标的一：</w:t>
      </w:r>
    </w:p>
    <w:tbl>
      <w:tblPr>
        <w:tblStyle w:val="4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1200"/>
        <w:gridCol w:w="4139"/>
        <w:gridCol w:w="1005"/>
        <w:gridCol w:w="990"/>
        <w:gridCol w:w="111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937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2025年青口投资公司水稻育秧作业投标报价表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6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3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6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水稻育秧作业</w:t>
            </w:r>
          </w:p>
        </w:tc>
        <w:tc>
          <w:tcPr>
            <w:tcW w:w="4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由中标方完成育秧播种作业，作业过程中人员、田头育秧播种设备、车辆及杂费等均由中标方提供。育秧物资（稻种、基质、软盘、无纺布）由生产单位提供，在转运过程中如有丢失由中标方照价赔偿，转运车不许使用非法改装车辆。中标方须符合生产单位质量要求，投标单位可提前熟悉现场，了解作业区别。作业要求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（1）基质：入盘底层2/3，顶层1/3，不露种；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（2）无纺布：盖布绷紧、压实；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（3）下种量：南粳9108视发芽率2.4-2.7两、圣稻22视发芽率2.5-3两；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（4）每日播盘量不低于2万盘，次盘率不得超过总量的3%；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（5）板头作业结束后不许人工摆盘；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（6）田头育秧播种设备操作由生产单位安排人员。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378000盘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0.48元/盘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937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2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3.投标单价一经填写，不得涂改。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157" w:right="1800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CF3"/>
    <w:rsid w:val="17564CF3"/>
    <w:rsid w:val="26FE65D2"/>
    <w:rsid w:val="2AB3443F"/>
    <w:rsid w:val="401D5F19"/>
    <w:rsid w:val="5595358C"/>
    <w:rsid w:val="79E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姜姝妍</dc:creator>
  <cp:lastModifiedBy>姜姝妍</cp:lastModifiedBy>
  <dcterms:modified xsi:type="dcterms:W3CDTF">2025-04-02T07:17:43Z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49718DB7C8CB4F3DA91943ACEFB95D1A_11</vt:lpwstr>
  </property>
</Properties>
</file>