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>月2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/>
          <w:sz w:val="28"/>
          <w:lang w:eastAsia="zh-CN"/>
        </w:rPr>
        <w:t>小麦农药采购</w:t>
      </w:r>
      <w:r>
        <w:rPr>
          <w:rFonts w:hint="eastAsia" w:ascii="仿宋_GB2312" w:eastAsia="仿宋_GB2312"/>
          <w:sz w:val="28"/>
        </w:rPr>
        <w:t>邀请函所列商品仔细研究，我单位具有所有要求资质，有能力按要求提供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以下物资</w:t>
      </w:r>
      <w:r>
        <w:rPr>
          <w:rFonts w:hint="eastAsia" w:ascii="仿宋_GB2312" w:eastAsia="仿宋_GB2312"/>
          <w:sz w:val="28"/>
        </w:rPr>
        <w:t>，本单位承诺中标后及时签订合同，按时供货，如果弃标，愿意向贵单位赔偿经济损失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110"/>
        <w:gridCol w:w="1290"/>
        <w:gridCol w:w="840"/>
        <w:gridCol w:w="114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90%乙草胺乳油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240ml/瓶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40瓶/箱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4箱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50%丙炔氟草胺可湿性粉剂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4g/袋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1000袋/箱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2箱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45瓶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戊唑醇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430L/g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42瓶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氨基酸水溶肥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35瓶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氯氰吡虫啉悬浮剂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140瓶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14-羟基芸苔素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14瓶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zYyMGMwMzViYjIyZTZkMmVhNmRlNjJkZmI1NzYifQ=="/>
  </w:docVars>
  <w:rsids>
    <w:rsidRoot w:val="6A1571AF"/>
    <w:rsid w:val="1D263B34"/>
    <w:rsid w:val="2248537A"/>
    <w:rsid w:val="3F116DA0"/>
    <w:rsid w:val="50353122"/>
    <w:rsid w:val="5906760C"/>
    <w:rsid w:val="6A1571AF"/>
    <w:rsid w:val="6B5D580C"/>
    <w:rsid w:val="712F129A"/>
    <w:rsid w:val="779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1254</Characters>
  <Lines>0</Lines>
  <Paragraphs>0</Paragraphs>
  <TotalTime>2</TotalTime>
  <ScaleCrop>false</ScaleCrop>
  <LinksUpToDate>false</LinksUpToDate>
  <CharactersWithSpaces>1339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dcterms:modified xsi:type="dcterms:W3CDTF">2023-04-26T15:37:30Z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82572FF75BF647489E441411547957EC_13</vt:lpwstr>
  </property>
</Properties>
</file>